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326</w:t>
      </w:r>
    </w:p>
    <w:p>
      <w:r>
        <w:t>Bundesgericht (BGE), 2011-09-23, DE</w:t>
      </w:r>
    </w:p>
    <w:p>
      <w:r>
        <w:rPr>
          <w:b/>
        </w:rPr>
        <w:t xml:space="preserve">Quelle: </w:t>
      </w:r>
      <w:r>
        <w:t>https://mcp.opencaselaw.ch/entscheid/bge_137 IV 326</w:t>
      </w:r>
    </w:p>
    <w:p>
      <w:r>
        <w:t>FR: ATF 137 IV 326</w:t>
      </w:r>
    </w:p>
    <w:p>
      <w:r>
        <w:t>IT: DTF 137 IV 326</w:t>
      </w:r>
    </w:p>
    <w:p>
      <w:pPr>
        <w:pStyle w:val="Heading2"/>
      </w:pPr>
      <w:r>
        <w:t>Regeste</w:t>
      </w:r>
    </w:p>
    <w:p>
      <w:r>
        <w:t>Regeste Art. 37 Abs. 1 SVG, Art. 12 Abs. 2 VRV, Art. 181 StGB; Nötigung durch andere Beschränkung der Handlungsfreiheit, Konkurrenz zu SVG-Delikten. Begriff des Schikanestopps (E. 3.3.3). Ein Schikanestopp bis zum Stillstand überschreitet das üblicherweise geduldete Mass unabhängig vom zeitlichen Aspekt ebenso eindeutig, wie es bei der Ausübung von Gewalt oder dem Androhen ernstlicher Nachteile der Fall ist. Die durch die schikanöse Vollbremsung geschaffene Zwangssituation ist für den nachfolgenden Verkehrsteilnehmer von einer solchen Intensität, dass sie dessen Handlungsfreiheit einschränkt (E. 3.4). Zwischen Art. 90 SVG und Art. 181 StGB besteht echte Konkurrenz (E. 3.5 und 3.6).</w:t>
      </w:r>
    </w:p>
    <w:p>
      <w:pPr>
        <w:pStyle w:val="Heading2"/>
      </w:pPr>
      <w:r>
        <w:t>Erwägungen</w:t>
      </w:r>
    </w:p>
    <w:p>
      <w:r>
        <w:rPr>
          <w:b/>
        </w:rPr>
        <w:t>E. 3.1</w:t>
      </w:r>
    </w:p>
    <w:p>
      <w:r>
        <w:t>Der Beschwerdeführer wendet sich gegen seine Verurteilung wegen mehrfacher Nötigung. Er macht geltend, die ihm zur Last gelegten lediglich kurzen Beeinträchtigungen der Willensbetätigung im Strassenverkehr würden den objektiven Tatbestand der Nötigung nicht erfüllen. Das Unrecht dieses Verhaltens (unbegründetes brüskes Bremsen) sei mit der Verurteilung nach Art. 90 Ziff. 2 SVG abgegolten. Nicht Gegenstand des vorliegenden Verfahrens ist die unangefochten gebliebene Qualifikation dieses Verhaltens als grobe Verkehrsregelverletzung.</w:t>
      </w:r>
    </w:p>
    <w:p>
      <w:r>
        <w:rPr>
          <w:b/>
        </w:rPr>
        <w:t>E. 3.2</w:t>
      </w:r>
    </w:p>
    <w:p>
      <w:r>
        <w:t>Unter Hinweis auf die erstinstanzlichen Ausführungen erwägt die Vorinstanz, durch das mehrfache Abbremsen habe der Beschwerdeführer A. keine andere Möglichkeit gelassen, als ebenfalls zum Stillstand zu kommen. Damit habe er dessen Handlungsfreiheit eingeschränkt und ihn zu einem Handeln bestimmt, das dieser sonst nicht vorgenommen hätte. Der Beschwerdeführer habe nicht aufgrund der Verkehrssituation, sondern aus rein schikanösen Motiven gehandelt und damit überdies in grober Weise die Verkehrsregeln verletzt. Die Rechtswidrigkeit der Nötigung sei gegeben. Während Art. 181 StGB die freie Willensbildung und -betätigung schütze, BGE 137 IV 326 S. 328 bezwecke das Strassenverkehrsgesetz den Schutz der Verkehrsteilnehmer. Aufgrund der unterschiedlichen Rechtsgüter habe sich der Beschwerdeführer zudem der mehrfachen groben Verletzung der Verkehrsregeln strafbar gemacht.</w:t>
      </w:r>
    </w:p>
    <w:p>
      <w:r>
        <w:rPr>
          <w:b/>
        </w:rPr>
        <w:t>E. 3.3.1</w:t>
      </w:r>
    </w:p>
    <w:p>
      <w:r>
        <w:t>Wegen Nötigung nach Art. 181 StGB wird bestraft, wer jemanden durch Gewalt, Androhung ernstlicher Nachteile oder durch andere Beschränkung seiner Handlungsfreiheit nötigt, etwas zu tun, zu unterlassen oder zu dulden. Die Tatbestandsvariante der "anderen Beschränkung der Handlungsfreiheit" ist restriktiv auszulegen. Dieses Zwangsmittel muss, um tatbestandsmässig zu sein, das üblicherweise geduldete Mass an Beeinflussung in ähnlicher Weise eindeutig überschreiten, wie es für die ausdrücklich genannten Nötigungsmittel der Gewalt und der Androhung ernstlicher Nachteile gilt ( BGE 134 IV 216 E. 4.1 mit Hinweisen). Es muss ihnen in seiner Intensität bzw. Wirkung ähnlich sein ( BGE 119 IV 301 E. 2a mit Hinweis). Als Nötigung gilt z.B. die Verhinderung eines öffentlichen Vortrags durch organisiertes und mit Megafon unterstütztes "Niederschreien", ebenso die Bildung eines "Menschenteppichs" und die Sabotage einer Bahnschranke, die je den Strassenverkehr behinderten, sowie die Blockierung des Haupteingangs eines Verwaltungsgebäudes oder die Blockade des Autobahnverkehrs während eineinhalb Stunden (Zusammenfassung der bundesgerichtlichen Rechtsprechung in BGE 134 IV 216 E. 4.2 und BGE 129 IV 6 E. 2.2 f.). Unrechtmässig ist eine Nötigung, wenn das Mittel oder der Zweck unerlaubt ist, wenn das Mittel zum erstrebten Zweck nicht im richtigen Verhältnis steht oder wenn die Verknüpfung zwischen einem an sich zulässigen Mittel und einem erlaubten Zweck rechtsmissbräuchlich oder sittenwidrig ist ( BGE 134 IV 216 E. 4.1 mit Hinweisen).</w:t>
      </w:r>
    </w:p>
    <w:p>
      <w:r>
        <w:rPr>
          <w:b/>
        </w:rPr>
        <w:t>E. 3.3.2</w:t>
      </w:r>
    </w:p>
    <w:p>
      <w:r>
        <w:t>Das Bundesgericht hat sich bislang nicht dazu geäussert, ob Beeinträchtigungen der freien Willensbetätigung im Strassenverkehr, namentlich bei Schikanestopps oder dem nicht verkehrsbedingten Ausbremsen nachfolgender Fahrzeuge, rechtlich als Nötigung zu qualifizieren sind. Obwohl diese Verhaltensweisen wiederholt Gegenstand kantonaler Entscheide waren, die bis an das Bundesgericht gelangten, musste es aus prozessualen Gründen weder zur rechtlichen Qualifikation dieser Fahrmanöver als Nötigung noch zur Frage des Konkurrenzverhältnisses zu SVG-Delikten Stellung nehmen (z.B. BGE 137 IV 326 S. 329 BGE 132 I 127 ; Urteile 6P.238/2006 vom 15. März 2007; 1P.326/2006 vom 5. September 2006; 6S.127/2007 vom 6. Juli 2007; 6S.43/2001 vom 19. Juni 2001; 6P.51/2001 vom 25. Juni 2001; 6S.563/1995 vom 24. November 1995; 1P.365/1995 vom 7. November 1995). Im Urteil 6B_560/2009 vom 10. September 2009 konnte das Bundesgericht die aufgeworfene Frage, ob der Tatbestand der Nötigung bei (kurzfristigen) Beeinträchtigungen im Strassenverkehr in echter Konkurrenz zur Verletzung der Verkehrsregeln erfüllt ist, offenlassen (Bemerkungen dazu in: FIOLKA/WEISSENBERGER, Rechtmässige Nötigung trotz rechtswidriger Nötigungsmittel-, forumpoenale 04/2010 S. 237 ff.).</w:t>
      </w:r>
    </w:p>
    <w:p>
      <w:r>
        <w:rPr>
          <w:b/>
        </w:rPr>
        <w:t>E. 3.3.3</w:t>
      </w:r>
    </w:p>
    <w:p>
      <w:r>
        <w:t>Gemäss Art. 34 Abs. 4 SVG hat der Lenker gegenüber allen Strassenbenützern einen ausreichenden Abstand zu wahren, namentlich beim Hintereinanderfahren. Er muss auch bei überraschendem Bremsen des voranfahrenden Fahrzeugs rechtzeitig anhalten können (Art. 12 Abs. 1 der Verkehrsregelnverordnung vom 13. November 1962, VRV; SR 741.11). Das überraschende Bremsen schliesst ein brüskes Bremsen mit ein ( BGE 131 IV 133 E. 3.1). Für die Einhaltung des angemessenen Abstandes hat im Regelfall der Fahrer des hinteren Fahrzeugs zu sorgen ( BGE 115 IV 248 E. 3a; BGE 81 IV 47 E. 3a und 302 E. 1; Urteil 6B_451/2010 vom 13. September 2010 E. 3.4 mit Hinweisen). Nach Art. 37 Abs. 1 SVG hat jedoch der Lenker, der anhalten will, nach Möglichkeit auf die nachfolgenden Fahrzeuge Rücksicht zu nehmen. Dieser Artikel erfasst nach seinem Wortlaut nur das freiwillige und voraussehbare Halten. An der Freiwilligkeit und möglichen Rücksichtnahme gebricht es, wenn ein Fahrzeuglenker wegen äusserer Umstände, bspw. verkehrsbedingt durch einen anderen Verkehrsteilnehmer, wegen eines plötzlich auf der Fahrbahn auftauchenden Hindernisses, wie ein Wirbeltier ( BGE 115 IV 248 E. 4b und 5b S. 253 mit Hinweis und S. 254), durch Verkehrsregelung (HANS GIGER, SVG - Strassenverkehrsgesetz, Kommentar, 7. Aufl. 2008, N. 1 zu Art. 37 SVG ) oder aus fahrzeugtechnischen Gründen sofort bremsen muss. Brüskes Bremsen und Halten sind nur gestattet, wenn kein Fahrzeug folgt und im Notfall ( Art. 12 Abs. 2 VRV ). In BGE 117 IV 504 mit dem Regestentitel " Art. 12 Abs. 2 VRV ; brüskes Bremsen (Schikanestop)" erwog das Bundesgericht, nebst dem grundlos scharfen oder einigermassen kräftigen Bremsen aus Böswilligkeit mit dem Zweck, den nachfolgenden Lenker zu erschrecken oder gar eine Auffahrkollision zu provozieren ( BGE 99 IV 100 ), bremse auch brüsk, wer - wenn ein BGE 137 IV 326 S. 330 anderes Fahrzeug folge - auf Autobahnen sein Fahrzeug durch Bremsen mehr als nur unwesentlich verzögere (entgegen der Darstellung von PHILIPPE WEISSENBERGER, in: Kommentar zum Strassenverkehrsgesetz, 2011, Rz. 59 zu Art. 34 SVG sowie Rz. 4 zu Art. 37 SVG qualifizierte das Bundesgericht im Urteil 6B_886/2009 vom 11. März 2010 das blosse Antippen des Bremspedals ohne Verzögerung der Geschwindigkeit nicht als brüskes Bremsen. Es hielt der Vorinstanz vielmehr vor, im Rahmen der Kostenauferlegung einer eingestellten Strafuntersuchung aufgrund der gegebenen Umstände keine rechtfertigende Notwehr des Beschwerdeführers geprüft zu haben). Ein Notfall im Sinne von Art. 12 Abs. 2 VRV liegt immer vor, wenn wegen eines plötzlich auftauchenden Hindernisses aus Sicherheitsgründen sofort gebremst werden muss. Erforderlich ist kein zwingender Grund, da lediglich das unnötige plötzliche Anhalten untersagt ist. Die Frage, ob das unvermittelte Bremsen unnötigerweise erfolgte, kann nicht generell, sondern nur im konkreten Fall unter Würdigung der Umstände entschieden werden ( BGE 115 IV 248 E. 4c S. 253 f. mit Hinweis). Festzuhalten ist, dass ein Schikanestopp, d.h. ein brüskes Anhalten oder Bremsen ohne einen Notfall mit dem Zweck der Schikane, wie dem Erteilen einer Lektion oder des Erziehens eines anderen Verkehrsteilnehmers, nicht zulässig ist. Eine schikanöse Vollbremsung auf der Autobahn kann eine Gefährdung des Lebens nach Art. 129 StGB darstellen (Urteil 6S.563/1995 vom 24. November 1995; RENÉ SCHAFFHAUSER, Grundriss des schweizerischen Strassenverkehrsrechts, Bd. I, 2. Aufl. 2002, N. 700 S. 317).</w:t>
      </w:r>
    </w:p>
    <w:p>
      <w:r>
        <w:rPr>
          <w:b/>
        </w:rPr>
        <w:t>E. 3.4</w:t>
      </w:r>
    </w:p>
    <w:p>
      <w:r>
        <w:t>Nach den vorinstanzlichen Feststellungen bremste der Beschwerdeführer in Y. mitten auf der Fahrbahn auf der Höhe der Verzweigung H./K. sein Fahrzeug unvermittelt und ohne verkehrsbedingten Grund bis zum Stillstand ab. Um eine Kollision zu vermeiden, musste A., der Lenker des nachfolgenden Personenwagens, eine Vollbremsung vornehmen. Nur wenige Meter nachdem der Beschwerdeführer seine Fahrt fortgesetzt hatte, nahm er erneut einen solchen Schikanestopp bis zum Stillstand vor, wodurch es zur Kollision mit dem Fahrzeug von A. kam. Unabhängig vom zeitlichen Aspekt haben die Manöver des Beschwerdeführers das üblicherweise geduldete Mass ebenso eindeutig überschritten, wie es bei der Ausübung von Gewalt oder dem Androhen eines ernstlichen Nachteils der Fall ist. Die durch die schikanösen Vollbremsungen ausgelösten Zwangsituationen waren von einer solchen Intensität, dass sie die freie Willensbetätigung von A. einschränkten. Ein solcher Schikanestopp bis BGE 137 IV 326 S. 331 zum Stillstand ist geeignet, selbst bei geringer Geschwindigkeit, bei einem durchschnittlichen Fahrzeuglenker Angst vor einem Strassenverkehrsunfall mit allfälligen Verletzungs- und Schadensfolgen hervorzurufen. Um eine Kollision zu vermeiden, war A. gezwungen, sein Fahrzeug abrupt und bis zum Stillstand abzubremsen. Damit zwang ihn der Beschwerdeführer zwei Mal zum Anhalten und beeinträchtigte dadurch seine Handlungsfreiheit (so auch BUSSY/RUSCONI, Code suisse de la circulation routière, commentaire, 3. Aufl. 1996, N. 1.3.3 zu Art. 37 SVG S. 410; siehe die Beispiele bei CHRISTIAN FAVRE UND ANDERE, Code pénal annoté, 3. Aufl. 2007, N. 1.17. zu Art. 181 StGB S. 498 mit Hinweisen; der in der SJZ 63/1967 S. 221 f., publizierte Entscheid verneinte eine Nötigung, weil für den nachfolgenden Fahrzeuglenker kein Zwang zum Anhalten bestanden hatte, etwas undifferenzierter erwähnt in: TRECHSEL/FINGERHUTH, Schweizerisches Strafgesetzbuch, Praxiskommentar, 2008, N. 7 zu Art. 181 StGB ; für eine zurückhaltende Anwendung von Art. 181 StGB in Strassenverkehrssachen: MARTINO IMPERATORI, Das Unrecht der Nötigung, 1987, S. 66 f. mit Hinweisen). Die Nötigungsmittel, d.h. die brüsken, nicht verkehrsbedingten Vollbremsungen des Beschwerdeführers, waren unrechtmässig ( Art. 37 Abs. 1 SVG und Art. 12 Abs. 2 VRV ), ebenso der damit verfolgte Zweck, A. eine Lektion zu erteilen. Die Nötigungen waren tatbestandsmässig und rechtswidrig. Es kann vorliegend dahingestellt bleiben, ob die erforderliche Intensität für die Bejahung einer Nötigung im Falle eines schikanösen Ausbremsens, ohne dass es zum Stillstand der involvierten Fahrzeuge kommt, ebenso gegeben wäre.</w:t>
      </w:r>
    </w:p>
    <w:p>
      <w:r>
        <w:rPr>
          <w:b/>
        </w:rPr>
        <w:t>E. 3.5.1</w:t>
      </w:r>
    </w:p>
    <w:p>
      <w:r>
        <w:t>Ein Teil der Lehre vertritt die Auffassung, dass zwischen der Nötigung und der Verletzung von Verkehrsbestimmungen in der Regel unechte Konkurrenz besteht, wenn ein Verkehrsteilnehmer durch seine Fahrweise einen anderen Strassenbenützer zu einem bestimmten Verhalten nötigt. Zur Begründung wird angeführt, er sei nur wegen der Verletzung der einschlägigen Verkehrsregel(n) zu bestrafen, da diese insbesondere der Vermeidung von Beschränkungen anderer Verkehrsteilnehmer dienen (ANDREAS DONATSCH, Strafrecht III, 9. Aufl. 2008, S. 414 f. mit Hinweis auf das dem BGE 111 IV 167 zugrunde liegende Urteil des Berner Obergerichts; BERNARD CORBOZ, Les infractions en droit suisse, Bd. I, 3. Aufl. 2010, N. 48 zu Art. 181 StGB ). Oder es wird begründet, eine Verletzung der Verkehrsregeln werde durch die Nötigung konsumiert, wenn sie BGE 137 IV 326 S. 332 durch eine Behinderung des Strassenverkehrs und der damit einhergehenden Gefährdung realisiert werde (CHRISTIAN FAVRE UND ANDERE, a.a.O., N. 1.14. zu Art. 181 StGB mit Hinweisen).</w:t>
      </w:r>
    </w:p>
    <w:p>
      <w:r>
        <w:rPr>
          <w:b/>
        </w:rPr>
        <w:t>E. 3.5.2</w:t>
      </w:r>
    </w:p>
    <w:p>
      <w:r>
        <w:t>Andere Autoren hingegen betonen, dass Art. 90 SVG und Art. 181 StGB im Verhältnis echter Konkurrenz zueinander stehen können, da diese Bestimmungen unterschiedliche Rechtsgüter schützen (YVAN JEANNERET, Les dispositions pénales de la Loi sur la circulation routière, 2007, N. 104 zu Art. 90 SVG ; BUSSY/RUSCONI, a.a.O., N. 6.3 e) zu Art. 90 SVG ; PHILIPPE WEISSENBERGER, a.a.O., Rz. 36 zu Art. 90 SVG ).</w:t>
      </w:r>
    </w:p>
    <w:p>
      <w:r>
        <w:rPr>
          <w:b/>
        </w:rPr>
        <w:t>E. 3.6</w:t>
      </w:r>
    </w:p>
    <w:p>
      <w:r>
        <w:t>Vorliegend ist der zweiten Auffassung beizupflichten. Das SVG sieht keine besonderen Regeln bezüglich einer allfälligen Konkurrenz ihrer Bestimmungen mit anderen Straftatbeständen - ausser in Art. 90 Ziff. 3 SVG - vor. Darüber ist folglich nach allgemeinen Grundsätzen zu entscheiden. Es ist zu prüfen, ob der Unrechtsgehalt der zu beurteilenden Handlung durch die Bestrafung bereits nach einer der zusammentreffenden Bestimmungen abgegolten wird oder nicht ( BGE 91 IV 30 E. 2). Geschütztes Rechtsgut von Art. 181 StGB ist die Handlungsfreiheit bzw. die Freiheit der Willensbildung und -betätigung des Einzelnen ( BGE 129 IV 6 E. 2.1 mit Hinweisen). Geschützt ist auch die Freiheit, den Willen der automobilen Fortbewegung zu betätigen ( BGE 134 IV 216 E. 4.4.3 mit Hinweis). Beim vorliegend massgeblichen Art. 90 Ziff. 2 SVG handelt es sich zwar um ein abstraktes Gefährdungsdelikt, indessen schützt er nicht das gleiche Rechtsgut wie die Nötigung (zum Verhältnis zwischen Verletzungs- und Gefährdungsdelikten am Beispiel von Urkunden- und Vermögensdelikten BGE 129 IV 53 E. 3.5 f.). Mit den Verkehrsregeln soll insbesondere die Verkehrssicherheit auf öffentlichen Strassen gewährleistet werden. Der Beschwerdeführer hat mit seinen Bremsmanövern zum einen die Handlungsfreiheit von A. verletzt, zum anderen abstrakt weitere Verkehrsteilnehmer gefährdet. Sein Verhalten betrifft sowohl unterschiedliche Rechtsgüter als auch verschiedene Rechtsgutträger. Demgemäss verletzt die Vorinstanz kein Bundesrecht, wenn sie ihn der mehrfachen Nötigung sowie der mehrfachen groben Verletzung der Verkehrsregeln schuldig spricht, mithin echte Idealkonkurrenz annimmt.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